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F0724" w14:textId="78F2FF64" w:rsidR="00255FF8" w:rsidRPr="00BF6010" w:rsidRDefault="00255FF8" w:rsidP="00255FF8">
      <w:pPr>
        <w:pStyle w:val="3GPPHeader"/>
        <w:spacing w:after="60"/>
        <w:jc w:val="left"/>
        <w:rPr>
          <w:rFonts w:cs="Arial"/>
          <w:szCs w:val="24"/>
          <w:lang w:val="en-US"/>
        </w:rPr>
      </w:pPr>
      <w:r w:rsidRPr="00BF6010">
        <w:rPr>
          <w:rFonts w:cs="Arial"/>
          <w:szCs w:val="24"/>
          <w:lang w:val="en-US"/>
        </w:rPr>
        <w:t>3GPP TSG-RAN WG2</w:t>
      </w:r>
      <w:r>
        <w:rPr>
          <w:rFonts w:cs="Arial"/>
          <w:szCs w:val="24"/>
          <w:lang w:val="en-US"/>
        </w:rPr>
        <w:t>#99</w:t>
      </w:r>
      <w:r w:rsidRPr="00BF6010">
        <w:rPr>
          <w:rFonts w:cs="Arial"/>
          <w:szCs w:val="24"/>
          <w:lang w:val="en-US"/>
        </w:rPr>
        <w:tab/>
      </w:r>
      <w:r w:rsidR="00E0505A" w:rsidRPr="00E0505A">
        <w:rPr>
          <w:rFonts w:cs="Arial"/>
          <w:szCs w:val="24"/>
          <w:lang w:val="en-US"/>
        </w:rPr>
        <w:t>Tdoc R2-1708533</w:t>
      </w:r>
    </w:p>
    <w:p w14:paraId="7D61DD2C" w14:textId="5E769E1E" w:rsidR="00255FF8" w:rsidRPr="0078073B" w:rsidRDefault="00255FF8" w:rsidP="00255FF8">
      <w:pPr>
        <w:pStyle w:val="3GPPHeader"/>
        <w:jc w:val="left"/>
        <w:rPr>
          <w:rFonts w:cs="Arial"/>
          <w:szCs w:val="24"/>
          <w:lang w:val="en-US"/>
        </w:rPr>
      </w:pPr>
      <w:r w:rsidRPr="00CD2C1C">
        <w:rPr>
          <w:rFonts w:cs="Arial"/>
          <w:szCs w:val="24"/>
          <w:lang w:val="en-US"/>
        </w:rPr>
        <w:t>Berlin, Germany, 21st – 25th August, 2017</w:t>
      </w:r>
      <w:r>
        <w:rPr>
          <w:rFonts w:cs="Arial"/>
          <w:szCs w:val="24"/>
          <w:lang w:val="en-US"/>
        </w:rPr>
        <w:tab/>
      </w:r>
      <w:r w:rsidRPr="00CD2C1C">
        <w:rPr>
          <w:rFonts w:cs="Arial"/>
          <w:szCs w:val="24"/>
          <w:lang w:val="en-US"/>
        </w:rPr>
        <w:t>(Revision of R2-170</w:t>
      </w:r>
      <w:r>
        <w:rPr>
          <w:rFonts w:cs="Arial"/>
          <w:szCs w:val="24"/>
          <w:lang w:val="en-US"/>
        </w:rPr>
        <w:t>6510</w:t>
      </w:r>
      <w:r w:rsidRPr="00CD2C1C">
        <w:rPr>
          <w:rFonts w:cs="Arial"/>
          <w:szCs w:val="24"/>
          <w:lang w:val="en-US"/>
        </w:rPr>
        <w:t>)</w:t>
      </w:r>
    </w:p>
    <w:p w14:paraId="307759FF" w14:textId="77777777" w:rsidR="00E90E49" w:rsidRPr="00255FF8" w:rsidRDefault="00E90E49" w:rsidP="00357380">
      <w:pPr>
        <w:pStyle w:val="3GPPHeader"/>
        <w:rPr>
          <w:lang w:val="en-US"/>
        </w:rPr>
      </w:pPr>
    </w:p>
    <w:p w14:paraId="6DC46014" w14:textId="06913CF5" w:rsidR="00E90E49" w:rsidRPr="00AF1E2D" w:rsidRDefault="00E90E49" w:rsidP="00311702">
      <w:pPr>
        <w:pStyle w:val="3GPPHeader"/>
        <w:rPr>
          <w:sz w:val="22"/>
          <w:szCs w:val="22"/>
          <w:lang w:val="en-US"/>
        </w:rPr>
      </w:pPr>
      <w:r w:rsidRPr="00AF1E2D">
        <w:rPr>
          <w:sz w:val="22"/>
          <w:szCs w:val="22"/>
          <w:lang w:val="en-US"/>
        </w:rPr>
        <w:t>Agenda Item:</w:t>
      </w:r>
      <w:r w:rsidRPr="00AF1E2D">
        <w:rPr>
          <w:sz w:val="22"/>
          <w:szCs w:val="22"/>
          <w:lang w:val="en-US"/>
        </w:rPr>
        <w:tab/>
      </w:r>
      <w:r w:rsidR="00BE6AF1" w:rsidRPr="00AF1E2D">
        <w:rPr>
          <w:sz w:val="22"/>
          <w:szCs w:val="22"/>
          <w:lang w:val="en-US"/>
        </w:rPr>
        <w:t>10.4.1.7</w:t>
      </w:r>
    </w:p>
    <w:p w14:paraId="21A6D44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82B83B0" w14:textId="0372417C" w:rsidR="00E90E49" w:rsidRPr="00CE0424" w:rsidRDefault="003D3C45" w:rsidP="00311702">
      <w:pPr>
        <w:pStyle w:val="3GPPHeader"/>
        <w:rPr>
          <w:sz w:val="22"/>
          <w:szCs w:val="22"/>
        </w:rPr>
      </w:pPr>
      <w:r>
        <w:rPr>
          <w:sz w:val="22"/>
          <w:szCs w:val="22"/>
        </w:rPr>
        <w:t>Title:</w:t>
      </w:r>
      <w:r w:rsidR="00E90E49" w:rsidRPr="00CE0424">
        <w:rPr>
          <w:sz w:val="22"/>
          <w:szCs w:val="22"/>
        </w:rPr>
        <w:tab/>
      </w:r>
      <w:r w:rsidR="00221CA0">
        <w:rPr>
          <w:sz w:val="22"/>
          <w:szCs w:val="22"/>
        </w:rPr>
        <w:t>D</w:t>
      </w:r>
      <w:r w:rsidR="006449B0">
        <w:rPr>
          <w:sz w:val="22"/>
          <w:szCs w:val="22"/>
        </w:rPr>
        <w:t>efault access c</w:t>
      </w:r>
      <w:r w:rsidR="00221CA0">
        <w:rPr>
          <w:sz w:val="22"/>
          <w:szCs w:val="22"/>
        </w:rPr>
        <w:t>ontrol c</w:t>
      </w:r>
      <w:r w:rsidR="006449B0">
        <w:rPr>
          <w:sz w:val="22"/>
          <w:szCs w:val="22"/>
        </w:rPr>
        <w:t>ategories</w:t>
      </w:r>
    </w:p>
    <w:p w14:paraId="5867B820" w14:textId="77777777" w:rsidR="00E90E49" w:rsidRPr="00CE0424" w:rsidRDefault="00E90E49" w:rsidP="007146AF">
      <w:pPr>
        <w:pStyle w:val="3GPPHeader"/>
      </w:pPr>
      <w:r w:rsidRPr="00CE0424">
        <w:rPr>
          <w:sz w:val="22"/>
          <w:szCs w:val="22"/>
        </w:rPr>
        <w:t>Document for:</w:t>
      </w:r>
      <w:r w:rsidRPr="00CE0424">
        <w:rPr>
          <w:sz w:val="22"/>
          <w:szCs w:val="22"/>
        </w:rPr>
        <w:tab/>
      </w:r>
      <w:r w:rsidRPr="006449B0">
        <w:rPr>
          <w:sz w:val="22"/>
          <w:szCs w:val="22"/>
        </w:rPr>
        <w:t>Discussion, Decision</w:t>
      </w:r>
    </w:p>
    <w:p w14:paraId="1E0F7E84" w14:textId="77777777" w:rsidR="00E90E49" w:rsidRPr="00CE0424" w:rsidRDefault="00E90E49" w:rsidP="00CE0424">
      <w:pPr>
        <w:pStyle w:val="Heading1"/>
      </w:pPr>
      <w:r w:rsidRPr="00CE0424">
        <w:t>Introduction</w:t>
      </w:r>
    </w:p>
    <w:p w14:paraId="15E5AD72" w14:textId="083BEAE6" w:rsidR="00255FF8" w:rsidRDefault="00255FF8" w:rsidP="00DE098B">
      <w:r w:rsidRPr="00CD2C1C">
        <w:rPr>
          <w:rFonts w:cs="Arial"/>
          <w:lang w:val="en-US"/>
        </w:rPr>
        <w:t>This contribution is an</w:t>
      </w:r>
      <w:r>
        <w:rPr>
          <w:rFonts w:cs="Arial"/>
          <w:lang w:val="en-US"/>
        </w:rPr>
        <w:t xml:space="preserve"> update of R2-1706510 </w:t>
      </w:r>
      <w:r>
        <w:rPr>
          <w:rFonts w:cs="Arial"/>
          <w:lang w:val="en-US"/>
        </w:rPr>
        <w:fldChar w:fldCharType="begin"/>
      </w:r>
      <w:r>
        <w:rPr>
          <w:rFonts w:cs="Arial"/>
          <w:lang w:val="en-US"/>
        </w:rPr>
        <w:instrText xml:space="preserve"> REF _Ref489865770 \r \h </w:instrText>
      </w:r>
      <w:r>
        <w:rPr>
          <w:rFonts w:cs="Arial"/>
          <w:lang w:val="en-US"/>
        </w:rPr>
      </w:r>
      <w:r>
        <w:rPr>
          <w:rFonts w:cs="Arial"/>
          <w:lang w:val="en-US"/>
        </w:rPr>
        <w:fldChar w:fldCharType="separate"/>
      </w:r>
      <w:r>
        <w:rPr>
          <w:rFonts w:cs="Arial"/>
          <w:lang w:val="en-US"/>
        </w:rPr>
        <w:t>[1]</w:t>
      </w:r>
      <w:r>
        <w:rPr>
          <w:rFonts w:cs="Arial"/>
          <w:lang w:val="en-US"/>
        </w:rPr>
        <w:fldChar w:fldCharType="end"/>
      </w:r>
      <w:r>
        <w:rPr>
          <w:rFonts w:cs="Arial"/>
          <w:lang w:val="en-US"/>
        </w:rPr>
        <w:t>.</w:t>
      </w:r>
    </w:p>
    <w:p w14:paraId="60B4F8B5" w14:textId="675A7FCC" w:rsidR="00DE098B" w:rsidRDefault="00DE098B" w:rsidP="00DE098B">
      <w:r>
        <w:t xml:space="preserve">At RAN2#98, the following agreements were made: </w:t>
      </w:r>
    </w:p>
    <w:p w14:paraId="19B62A52" w14:textId="77777777" w:rsidR="00DE098B" w:rsidRDefault="00DE098B" w:rsidP="00DE098B">
      <w:pPr>
        <w:pStyle w:val="Doc-text2"/>
      </w:pPr>
    </w:p>
    <w:p w14:paraId="7C825B36"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Agreements</w:t>
      </w:r>
    </w:p>
    <w:p w14:paraId="2FF21523"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1</w:t>
      </w:r>
      <w:r>
        <w:tab/>
      </w:r>
      <w:r w:rsidRPr="001A59CE">
        <w:t xml:space="preserve">RAN2 aims </w:t>
      </w:r>
      <w:r>
        <w:t xml:space="preserve">that the 5G AC mechanism for a UE in RRC_IDLE is applicable to a UE in RRC_INACTIVE. </w:t>
      </w:r>
    </w:p>
    <w:p w14:paraId="7521B68E"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 xml:space="preserve">FFS if any aspects may not be applicable or may need to be changed for </w:t>
      </w:r>
      <w:r w:rsidRPr="001A59CE">
        <w:t>RRC_INACTIVE</w:t>
      </w:r>
      <w:r>
        <w:t xml:space="preserve"> relative to </w:t>
      </w:r>
      <w:r w:rsidRPr="001A59CE">
        <w:t>RRC_IDLE</w:t>
      </w:r>
      <w:r>
        <w:t xml:space="preserve"> (to be addressed by both CT1 and RAN2).</w:t>
      </w:r>
    </w:p>
    <w:p w14:paraId="2965536F"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2</w:t>
      </w:r>
      <w:r>
        <w:tab/>
        <w:t xml:space="preserve">RAN2 aims to define the </w:t>
      </w:r>
      <w:r w:rsidRPr="00514763">
        <w:t>5G AC mechanism</w:t>
      </w:r>
      <w:r>
        <w:t xml:space="preserve"> for a </w:t>
      </w:r>
      <w:r w:rsidRPr="00514763">
        <w:t>UE in RRC_CONNECTED</w:t>
      </w:r>
      <w:r>
        <w:t>. Details FFS</w:t>
      </w:r>
    </w:p>
    <w:p w14:paraId="2F3E87E4"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p>
    <w:p w14:paraId="0CF00302"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3</w:t>
      </w:r>
      <w:r>
        <w:tab/>
        <w:t xml:space="preserve">UE NAS provides the access category information to UE RRC at least for </w:t>
      </w:r>
      <w:r w:rsidRPr="004802AE">
        <w:t xml:space="preserve">RRC_IDLE </w:t>
      </w:r>
    </w:p>
    <w:p w14:paraId="6EB01AA5"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74FB319C"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p>
    <w:p w14:paraId="63AB2FAC"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4</w:t>
      </w:r>
      <w:r>
        <w:tab/>
        <w:t>Connection Request will include some information to enable the gNB to decide whether to reject the connection request</w:t>
      </w:r>
    </w:p>
    <w:p w14:paraId="3950B905"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 xml:space="preserve">FFS whether the information that is included is e.g. provided by NAS, derived from the AC, etc </w:t>
      </w:r>
    </w:p>
    <w:p w14:paraId="68D6BEFE"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116A0FBC" w14:textId="77777777" w:rsidR="00DE098B" w:rsidRDefault="00DE098B" w:rsidP="00DE098B">
      <w:pPr>
        <w:pStyle w:val="Doc-text2"/>
      </w:pPr>
    </w:p>
    <w:p w14:paraId="2CEA63A2" w14:textId="77777777" w:rsidR="00DE098B" w:rsidRDefault="00DE098B" w:rsidP="00DE098B">
      <w:pPr>
        <w:pStyle w:val="BodyText"/>
      </w:pPr>
    </w:p>
    <w:p w14:paraId="36FD0A81" w14:textId="7B56802F" w:rsidR="00DE098B" w:rsidRDefault="00DE098B" w:rsidP="00DE098B">
      <w:pPr>
        <w:pStyle w:val="BodyText"/>
      </w:pPr>
      <w:r>
        <w:t xml:space="preserve">At RAN2#98, RAN2 also sent an LS </w:t>
      </w:r>
      <w:r>
        <w:fldChar w:fldCharType="begin"/>
      </w:r>
      <w:r>
        <w:instrText xml:space="preserve"> REF _Ref481138691 \r \h </w:instrText>
      </w:r>
      <w:r>
        <w:fldChar w:fldCharType="separate"/>
      </w:r>
      <w:r w:rsidR="00255FF8">
        <w:t>[3]</w:t>
      </w:r>
      <w:r>
        <w:fldChar w:fldCharType="end"/>
      </w:r>
      <w:r>
        <w:t xml:space="preserve"> to SA1, CT1 and SA2 with the above agreement. To the RAN2 NR adhoc meeting</w:t>
      </w:r>
      <w:r w:rsidR="00141DE8">
        <w:t xml:space="preserve"> in June</w:t>
      </w:r>
      <w:r>
        <w:t xml:space="preserve">, CT1 provided an LS </w:t>
      </w:r>
      <w:r>
        <w:fldChar w:fldCharType="begin"/>
      </w:r>
      <w:r>
        <w:instrText xml:space="preserve"> REF _Ref481071155 \r \h </w:instrText>
      </w:r>
      <w:r>
        <w:fldChar w:fldCharType="separate"/>
      </w:r>
      <w:r w:rsidR="00255FF8">
        <w:t>[4]</w:t>
      </w:r>
      <w:r>
        <w:fldChar w:fldCharType="end"/>
      </w:r>
      <w:r>
        <w:t xml:space="preserve"> on default access categories.</w:t>
      </w:r>
    </w:p>
    <w:p w14:paraId="53754E17" w14:textId="10792A04" w:rsidR="00D3005B" w:rsidRDefault="006449B0" w:rsidP="00CE0424">
      <w:pPr>
        <w:pStyle w:val="BodyText"/>
      </w:pPr>
      <w:r>
        <w:t xml:space="preserve">For unified access control, </w:t>
      </w:r>
      <w:r w:rsidR="00D410F2">
        <w:t xml:space="preserve">it has been discussed, in line what we also </w:t>
      </w:r>
      <w:r>
        <w:t>we propose in</w:t>
      </w:r>
      <w:r w:rsidR="00255FF8">
        <w:t xml:space="preserve"> </w:t>
      </w:r>
      <w:r w:rsidR="00255FF8">
        <w:fldChar w:fldCharType="begin"/>
      </w:r>
      <w:r w:rsidR="00255FF8">
        <w:instrText xml:space="preserve"> REF _Ref489865799 \r \h </w:instrText>
      </w:r>
      <w:r w:rsidR="00255FF8">
        <w:fldChar w:fldCharType="separate"/>
      </w:r>
      <w:r w:rsidR="00255FF8">
        <w:t>[2]</w:t>
      </w:r>
      <w:r w:rsidR="00255FF8">
        <w:fldChar w:fldCharType="end"/>
      </w:r>
      <w:r w:rsidR="00D410F2">
        <w:t>,</w:t>
      </w:r>
      <w:r w:rsidR="00DE098B">
        <w:t xml:space="preserve"> </w:t>
      </w:r>
      <w:r>
        <w:t>that the UE is configured with the rules to determine access category. However, when there are no valid rules available, such as when a UE is roaming, there is a need for a default, standardized, behaviour, which is known as default, or standardized, access categories</w:t>
      </w:r>
      <w:r w:rsidR="00DE098B">
        <w:t xml:space="preserve">, as indicated in the CT1 LS </w:t>
      </w:r>
      <w:r w:rsidR="00DE098B">
        <w:fldChar w:fldCharType="begin"/>
      </w:r>
      <w:r w:rsidR="00DE098B">
        <w:instrText xml:space="preserve"> REF _Ref481071155 \r \h </w:instrText>
      </w:r>
      <w:r w:rsidR="00DE098B">
        <w:fldChar w:fldCharType="separate"/>
      </w:r>
      <w:r w:rsidR="00255FF8">
        <w:t>[4]</w:t>
      </w:r>
      <w:r w:rsidR="00DE098B">
        <w:fldChar w:fldCharType="end"/>
      </w:r>
      <w:r>
        <w:t>. This contribution discusses how to define these default access categories</w:t>
      </w:r>
      <w:r w:rsidR="00A14EC3">
        <w:t xml:space="preserve"> and how they relate to configured access categories</w:t>
      </w:r>
      <w:r>
        <w:t>.</w:t>
      </w:r>
    </w:p>
    <w:p w14:paraId="5641B4C7" w14:textId="531FC001" w:rsidR="001643A8" w:rsidRDefault="004000E8" w:rsidP="00CE0424">
      <w:pPr>
        <w:pStyle w:val="Heading1"/>
      </w:pPr>
      <w:bookmarkStart w:id="0" w:name="_Ref178064866"/>
      <w:r w:rsidRPr="00CE0424">
        <w:t>Discussion</w:t>
      </w:r>
      <w:bookmarkEnd w:id="0"/>
    </w:p>
    <w:p w14:paraId="798D7986" w14:textId="385C956A" w:rsidR="00D410F2" w:rsidRDefault="00D410F2" w:rsidP="006449B0">
      <w:r>
        <w:t>According to our understanding of what has been so far agreed on access control:</w:t>
      </w:r>
    </w:p>
    <w:p w14:paraId="52DCC3F2" w14:textId="0F895D72" w:rsidR="00D410F2" w:rsidRDefault="00D410F2" w:rsidP="00D410F2">
      <w:pPr>
        <w:pStyle w:val="ListParagraph"/>
        <w:numPr>
          <w:ilvl w:val="0"/>
          <w:numId w:val="14"/>
        </w:numPr>
      </w:pPr>
      <w:r>
        <w:t>The NAS determines the access category</w:t>
      </w:r>
    </w:p>
    <w:p w14:paraId="20B7643B" w14:textId="7F92EFBB" w:rsidR="00D410F2" w:rsidRDefault="00D410F2" w:rsidP="00D410F2">
      <w:pPr>
        <w:pStyle w:val="ListParagraph"/>
        <w:numPr>
          <w:ilvl w:val="0"/>
          <w:numId w:val="14"/>
        </w:numPr>
      </w:pPr>
      <w:r>
        <w:t>The access category is provided to the AS</w:t>
      </w:r>
    </w:p>
    <w:p w14:paraId="2653759D" w14:textId="134EC114" w:rsidR="00D410F2" w:rsidRDefault="00D410F2" w:rsidP="00D410F2">
      <w:pPr>
        <w:pStyle w:val="ListParagraph"/>
        <w:numPr>
          <w:ilvl w:val="0"/>
          <w:numId w:val="14"/>
        </w:numPr>
      </w:pPr>
      <w:r>
        <w:t>The AS uses the access category together with barring information from the network in order to perform a barring check</w:t>
      </w:r>
    </w:p>
    <w:p w14:paraId="0E96FB6E" w14:textId="5CD88A7E" w:rsidR="00D410F2" w:rsidRDefault="00D410F2" w:rsidP="006449B0">
      <w:r>
        <w:t xml:space="preserve">According to the LS from CT1 </w:t>
      </w:r>
      <w:r>
        <w:fldChar w:fldCharType="begin"/>
      </w:r>
      <w:r>
        <w:instrText xml:space="preserve"> REF _Ref481071155 \r \h </w:instrText>
      </w:r>
      <w:r>
        <w:fldChar w:fldCharType="separate"/>
      </w:r>
      <w:r w:rsidR="00255FF8">
        <w:t>[4]</w:t>
      </w:r>
      <w:r>
        <w:fldChar w:fldCharType="end"/>
      </w:r>
      <w:r>
        <w:t xml:space="preserve">, </w:t>
      </w:r>
      <w:r w:rsidR="007717C6">
        <w:t>it is assumed that “</w:t>
      </w:r>
      <w:r w:rsidR="007717C6" w:rsidRPr="007717C6">
        <w:rPr>
          <w:i/>
        </w:rPr>
        <w:t>a defaul</w:t>
      </w:r>
      <w:r w:rsidRPr="007717C6">
        <w:rPr>
          <w:i/>
        </w:rPr>
        <w:t>t set of access categories are useful</w:t>
      </w:r>
      <w:r w:rsidR="007717C6" w:rsidRPr="007717C6">
        <w:rPr>
          <w:i/>
        </w:rPr>
        <w:t xml:space="preserve"> </w:t>
      </w:r>
      <w:r w:rsidR="007717C6" w:rsidRPr="007717C6">
        <w:rPr>
          <w:rFonts w:cs="Arial"/>
          <w:i/>
          <w:color w:val="000000"/>
        </w:rPr>
        <w:t>to ensure that all UEs making access attempts to any 3GPP network (inbound roamers or home subscribers) can be controlled for expected basic services</w:t>
      </w:r>
      <w:r w:rsidR="007717C6">
        <w:rPr>
          <w:rFonts w:cs="Arial"/>
          <w:color w:val="000000"/>
        </w:rPr>
        <w:t>”. Moreover, in the LS from CT1 it is stated “</w:t>
      </w:r>
      <w:r w:rsidR="007717C6" w:rsidRPr="007717C6">
        <w:rPr>
          <w:rFonts w:cs="Arial"/>
          <w:i/>
          <w:color w:val="000000"/>
        </w:rPr>
        <w:t>that said set of default access categories will have the "same meaning regardless of different network operators, i.e., standardized values"</w:t>
      </w:r>
      <w:r w:rsidR="007717C6">
        <w:rPr>
          <w:rFonts w:cs="Arial"/>
          <w:color w:val="000000"/>
        </w:rPr>
        <w:t>”.</w:t>
      </w:r>
    </w:p>
    <w:p w14:paraId="3C52959A" w14:textId="0E34E59C" w:rsidR="007717C6" w:rsidRDefault="007717C6" w:rsidP="006449B0">
      <w:r>
        <w:lastRenderedPageBreak/>
        <w:t xml:space="preserve">In line with the above, we propose in </w:t>
      </w:r>
      <w:r w:rsidR="00255FF8">
        <w:fldChar w:fldCharType="begin"/>
      </w:r>
      <w:r w:rsidR="00255FF8">
        <w:instrText xml:space="preserve"> REF _Ref489865799 \r \h </w:instrText>
      </w:r>
      <w:r w:rsidR="00255FF8">
        <w:fldChar w:fldCharType="separate"/>
      </w:r>
      <w:r w:rsidR="00255FF8">
        <w:t>[2]</w:t>
      </w:r>
      <w:r w:rsidR="00255FF8">
        <w:fldChar w:fldCharType="end"/>
      </w:r>
      <w:r>
        <w:t xml:space="preserve"> that access categories, and the rules to determine these access categories, are configured by the Core Network, We also propose that a</w:t>
      </w:r>
      <w:r w:rsidRPr="007717C6">
        <w:t xml:space="preserve"> </w:t>
      </w:r>
      <w:r w:rsidR="003F5915">
        <w:t xml:space="preserve">set of </w:t>
      </w:r>
      <w:r w:rsidRPr="007717C6">
        <w:rPr>
          <w:b/>
        </w:rPr>
        <w:t xml:space="preserve">default access </w:t>
      </w:r>
      <w:r w:rsidR="003F5915">
        <w:rPr>
          <w:b/>
        </w:rPr>
        <w:t>categories</w:t>
      </w:r>
      <w:r w:rsidRPr="007717C6">
        <w:rPr>
          <w:b/>
        </w:rPr>
        <w:t xml:space="preserve"> </w:t>
      </w:r>
      <w:r w:rsidRPr="007717C6">
        <w:t xml:space="preserve">should apply </w:t>
      </w:r>
      <w:r w:rsidR="003F5915" w:rsidRPr="003F5915">
        <w:t xml:space="preserve">at least when the UE does not have a valid </w:t>
      </w:r>
      <w:r w:rsidR="003F5915">
        <w:t>set of configured access categories</w:t>
      </w:r>
      <w:r w:rsidR="00A14EC3">
        <w:t>.</w:t>
      </w:r>
      <w:r w:rsidR="00894DBC">
        <w:t xml:space="preserve"> Thus we propose:</w:t>
      </w:r>
    </w:p>
    <w:p w14:paraId="0BB37E66" w14:textId="32353366" w:rsidR="00894DBC" w:rsidRDefault="00894DBC" w:rsidP="00894DBC">
      <w:pPr>
        <w:pStyle w:val="Proposal"/>
      </w:pPr>
      <w:bookmarkStart w:id="1" w:name="_Toc484766830"/>
      <w:bookmarkStart w:id="2" w:name="_Toc485222991"/>
      <w:bookmarkStart w:id="3" w:name="_Toc485416633"/>
      <w:bookmarkStart w:id="4" w:name="_Toc490264150"/>
      <w:r>
        <w:t>Access categories are classified into configured access categories and default access categories.</w:t>
      </w:r>
      <w:bookmarkEnd w:id="1"/>
      <w:bookmarkEnd w:id="2"/>
      <w:bookmarkEnd w:id="3"/>
      <w:bookmarkEnd w:id="4"/>
    </w:p>
    <w:p w14:paraId="092147D1" w14:textId="590841A2" w:rsidR="00B04C7B" w:rsidRDefault="00990E00" w:rsidP="00894DBC">
      <w:r>
        <w:t xml:space="preserve">In order to have a uniform UE behaviour and to make it easier for the RAN to apply barring, we think that the codepoints used for the default access categories are separate from the codepoints used for the configured access categories. </w:t>
      </w:r>
      <w:r w:rsidR="00B04C7B">
        <w:t xml:space="preserve">Moreover, in </w:t>
      </w:r>
      <w:r w:rsidR="00B04C7B">
        <w:fldChar w:fldCharType="begin"/>
      </w:r>
      <w:r w:rsidR="00B04C7B">
        <w:instrText xml:space="preserve"> REF _Ref485293697 \r \h </w:instrText>
      </w:r>
      <w:r w:rsidR="00B04C7B">
        <w:fldChar w:fldCharType="separate"/>
      </w:r>
      <w:r w:rsidR="00255FF8">
        <w:t>[5]</w:t>
      </w:r>
      <w:r w:rsidR="00B04C7B">
        <w:fldChar w:fldCharType="end"/>
      </w:r>
      <w:r w:rsidR="00B04C7B">
        <w:t>, we propose to use the access category in msg3 as the “establishment cause”. In order to intepret this information in msg3, RAN should be able by the codepoint used know for eample whether a default or configured access category triggered the access.</w:t>
      </w:r>
    </w:p>
    <w:p w14:paraId="0763C162" w14:textId="44659C12" w:rsidR="00990E00" w:rsidRDefault="00990E00" w:rsidP="00894DBC">
      <w:r>
        <w:t>We propose:</w:t>
      </w:r>
    </w:p>
    <w:p w14:paraId="4E440F6D" w14:textId="022A56E6" w:rsidR="00D466D1" w:rsidRDefault="00990E00" w:rsidP="00990E00">
      <w:pPr>
        <w:pStyle w:val="Proposal"/>
      </w:pPr>
      <w:bookmarkStart w:id="5" w:name="_Toc484766831"/>
      <w:bookmarkStart w:id="6" w:name="_Toc485222992"/>
      <w:bookmarkStart w:id="7" w:name="_Toc485416634"/>
      <w:bookmarkStart w:id="8" w:name="_Toc490264151"/>
      <w:r>
        <w:t>T</w:t>
      </w:r>
      <w:r w:rsidRPr="00990E00">
        <w:t>he codepoints used for the default access categories are separate from the codepoints used for the configured access categories</w:t>
      </w:r>
      <w:r>
        <w:t>.</w:t>
      </w:r>
      <w:bookmarkEnd w:id="5"/>
      <w:bookmarkEnd w:id="6"/>
      <w:bookmarkEnd w:id="7"/>
      <w:bookmarkEnd w:id="8"/>
    </w:p>
    <w:p w14:paraId="12DF11C9" w14:textId="6C7D5E9B" w:rsidR="00894DBC" w:rsidRDefault="00894DBC" w:rsidP="00894DBC">
      <w:r>
        <w:t xml:space="preserve">The configured access categories are controlled by the core network, including rules for how to detrmine which category to use. On the other hand, the default access categories are fixed and standardised. </w:t>
      </w:r>
      <w:r w:rsidR="00A14EC3">
        <w:t>In</w:t>
      </w:r>
      <w:r w:rsidR="00255FF8">
        <w:t xml:space="preserve"> </w:t>
      </w:r>
      <w:r w:rsidR="00255FF8">
        <w:fldChar w:fldCharType="begin"/>
      </w:r>
      <w:r w:rsidR="00255FF8">
        <w:instrText xml:space="preserve"> REF _Ref489865799 \r \h </w:instrText>
      </w:r>
      <w:r w:rsidR="00255FF8">
        <w:fldChar w:fldCharType="separate"/>
      </w:r>
      <w:r w:rsidR="00255FF8">
        <w:t>[2]</w:t>
      </w:r>
      <w:r w:rsidR="00255FF8">
        <w:fldChar w:fldCharType="end"/>
      </w:r>
      <w:r w:rsidR="00A14EC3">
        <w:t>, we have the observation:</w:t>
      </w:r>
    </w:p>
    <w:p w14:paraId="20A7A669" w14:textId="0621C7ED" w:rsidR="00A14EC3" w:rsidRDefault="00A14EC3" w:rsidP="00894DBC">
      <w:pPr>
        <w:pStyle w:val="Observation"/>
      </w:pPr>
      <w:bookmarkStart w:id="9" w:name="_Toc484766827"/>
      <w:bookmarkStart w:id="10" w:name="_Toc485416630"/>
      <w:bookmarkStart w:id="11" w:name="_Toc490264147"/>
      <w:r>
        <w:t>How to determine the validity of the configured access categories need to be specified.</w:t>
      </w:r>
      <w:bookmarkEnd w:id="9"/>
      <w:bookmarkEnd w:id="10"/>
      <w:bookmarkEnd w:id="11"/>
    </w:p>
    <w:p w14:paraId="4ED52783" w14:textId="1292899E" w:rsidR="00A14EC3" w:rsidRDefault="00A14EC3" w:rsidP="00A14EC3">
      <w:r>
        <w:t>A typical scenario, is that validity of the configured access categories stored in the UE is determined based on at least two factors:</w:t>
      </w:r>
    </w:p>
    <w:p w14:paraId="605D9A70" w14:textId="4BCDC8B4" w:rsidR="00DC387D" w:rsidRDefault="00A14EC3" w:rsidP="00DC387D">
      <w:pPr>
        <w:pStyle w:val="ListParagraph"/>
        <w:numPr>
          <w:ilvl w:val="0"/>
          <w:numId w:val="17"/>
        </w:numPr>
      </w:pPr>
      <w:r>
        <w:t>In which area the configuration is valid (e.g. PLMN)</w:t>
      </w:r>
    </w:p>
    <w:p w14:paraId="71F3E765" w14:textId="5A21DE64" w:rsidR="00DC387D" w:rsidRDefault="00DC387D" w:rsidP="00DC387D">
      <w:pPr>
        <w:pStyle w:val="ListParagraph"/>
        <w:numPr>
          <w:ilvl w:val="0"/>
          <w:numId w:val="17"/>
        </w:numPr>
      </w:pPr>
      <w:r>
        <w:t>Whether the configuration is outdated.</w:t>
      </w:r>
    </w:p>
    <w:p w14:paraId="159F2520" w14:textId="5DF08F51" w:rsidR="00894DBC" w:rsidRDefault="00894DBC" w:rsidP="00A14EC3">
      <w:r>
        <w:t>We also need to consider whether the default access categories are defined in the AS or NAS. As NAS determines the access category when, configured access categories are valid, it is natural that also the default access categories are defined by NAS. We propose:</w:t>
      </w:r>
    </w:p>
    <w:p w14:paraId="155FF8B8" w14:textId="2096D0E7" w:rsidR="00894DBC" w:rsidRDefault="00894DBC" w:rsidP="00894DBC">
      <w:pPr>
        <w:pStyle w:val="Proposal"/>
      </w:pPr>
      <w:bookmarkStart w:id="12" w:name="_Toc484591092"/>
      <w:bookmarkStart w:id="13" w:name="_Toc484766832"/>
      <w:bookmarkStart w:id="14" w:name="_Toc485222993"/>
      <w:bookmarkStart w:id="15" w:name="_Toc485416635"/>
      <w:bookmarkStart w:id="16" w:name="_Toc490264152"/>
      <w:r>
        <w:t>The default access categories are defined in the NAS specifications.</w:t>
      </w:r>
      <w:bookmarkEnd w:id="12"/>
      <w:bookmarkEnd w:id="13"/>
      <w:bookmarkEnd w:id="14"/>
      <w:bookmarkEnd w:id="15"/>
      <w:bookmarkEnd w:id="16"/>
    </w:p>
    <w:p w14:paraId="3C1B9E9F" w14:textId="7A56253E" w:rsidR="00A14EC3" w:rsidRPr="00A14EC3" w:rsidRDefault="00A14EC3" w:rsidP="00A14EC3">
      <w:bookmarkStart w:id="17" w:name="_Toc484591091"/>
      <w:bookmarkStart w:id="18" w:name="_Toc484591107"/>
      <w:r>
        <w:t>This also implies that RRC would be agnostic of the usage of an access category codepoint which should be in line with the “unified access control mechanism”.</w:t>
      </w:r>
    </w:p>
    <w:p w14:paraId="7EFA16CA" w14:textId="45070E34" w:rsidR="00D410F2" w:rsidRDefault="00A14EC3" w:rsidP="00A14EC3">
      <w:pPr>
        <w:pStyle w:val="Observation"/>
      </w:pPr>
      <w:bookmarkStart w:id="19" w:name="_Toc484766828"/>
      <w:bookmarkStart w:id="20" w:name="_Toc485416631"/>
      <w:bookmarkStart w:id="21" w:name="_Toc490264148"/>
      <w:bookmarkEnd w:id="17"/>
      <w:bookmarkEnd w:id="18"/>
      <w:r>
        <w:t>Specifying the default access categories in NAS keeps</w:t>
      </w:r>
      <w:r w:rsidRPr="00A14EC3">
        <w:t xml:space="preserve"> RRC agnostic of the usage of an access category codepoint in line with the “unified access control mechanism</w:t>
      </w:r>
      <w:r>
        <w:t>”.</w:t>
      </w:r>
      <w:bookmarkEnd w:id="19"/>
      <w:bookmarkEnd w:id="20"/>
      <w:bookmarkEnd w:id="21"/>
    </w:p>
    <w:p w14:paraId="4AF38A72" w14:textId="46E136EF" w:rsidR="00A14EC3" w:rsidRDefault="00A14EC3" w:rsidP="006449B0">
      <w:r>
        <w:t xml:space="preserve">If RRC is agnostic does not necessarily imply that RAN is agnostic of the meaning of an default access category codepoint and is still able to perform barring decisions of individual access categories. </w:t>
      </w:r>
    </w:p>
    <w:p w14:paraId="6CDBCBB0" w14:textId="0D1A98AD" w:rsidR="00A14EC3" w:rsidRDefault="00A14EC3" w:rsidP="00A14EC3">
      <w:pPr>
        <w:pStyle w:val="Observation"/>
      </w:pPr>
      <w:bookmarkStart w:id="22" w:name="_Toc484766829"/>
      <w:bookmarkStart w:id="23" w:name="_Toc485416632"/>
      <w:bookmarkStart w:id="24" w:name="_Toc490264149"/>
      <w:r>
        <w:t>RAN can apply barring even if RRC is agnostic of meaning of a default access category codepoint.</w:t>
      </w:r>
      <w:bookmarkEnd w:id="22"/>
      <w:bookmarkEnd w:id="23"/>
      <w:bookmarkEnd w:id="24"/>
    </w:p>
    <w:p w14:paraId="71E61BD6" w14:textId="40E05BED" w:rsidR="00BE6AF1" w:rsidRDefault="000805AC" w:rsidP="00BE6AF1">
      <w:r>
        <w:t xml:space="preserve">CT1 has started to discuss which default access categories to specify. For example, the CT1 LS </w:t>
      </w:r>
      <w:r>
        <w:fldChar w:fldCharType="begin"/>
      </w:r>
      <w:r>
        <w:instrText xml:space="preserve"> REF _Ref481071155 \r \h </w:instrText>
      </w:r>
      <w:r>
        <w:fldChar w:fldCharType="separate"/>
      </w:r>
      <w:r w:rsidR="00255FF8">
        <w:t>[4]</w:t>
      </w:r>
      <w:r>
        <w:fldChar w:fldCharType="end"/>
      </w:r>
      <w:r>
        <w:t xml:space="preserve"> </w:t>
      </w:r>
      <w:r w:rsidR="00D466D1">
        <w:t>states</w:t>
      </w:r>
      <w:r>
        <w:t xml:space="preserve"> “</w:t>
      </w:r>
      <w:r w:rsidR="00D466D1" w:rsidRPr="00D466D1">
        <w:rPr>
          <w:i/>
        </w:rPr>
        <w:t xml:space="preserve">Such a set of default access categories could be e.g. </w:t>
      </w:r>
      <w:r w:rsidRPr="00D466D1">
        <w:rPr>
          <w:i/>
        </w:rPr>
        <w:t>MO signalling, MO data, emergency, AC 11 to AC 15</w:t>
      </w:r>
      <w:r>
        <w:t>”</w:t>
      </w:r>
      <w:r w:rsidR="00D466D1">
        <w:t>.</w:t>
      </w:r>
      <w:r w:rsidR="00BE6AF1">
        <w:t xml:space="preserve"> </w:t>
      </w:r>
    </w:p>
    <w:p w14:paraId="2A75E62D" w14:textId="2B8550BA" w:rsidR="00990E00" w:rsidRDefault="00990E00" w:rsidP="00BE6AF1">
      <w:r>
        <w:t>Which default access categories to specify depends how these are intended to be used. We see two main cases here:</w:t>
      </w:r>
    </w:p>
    <w:p w14:paraId="28A4EC90" w14:textId="77777777" w:rsidR="00990E00" w:rsidRDefault="00990E00" w:rsidP="006449B0">
      <w:pPr>
        <w:pStyle w:val="ListParagraph"/>
        <w:numPr>
          <w:ilvl w:val="0"/>
          <w:numId w:val="15"/>
        </w:numPr>
      </w:pPr>
      <w:r>
        <w:t xml:space="preserve">Default access categories are used as a pure fallback in rare cases when configured access categories are not valid, </w:t>
      </w:r>
    </w:p>
    <w:p w14:paraId="62AA75D5" w14:textId="77777777" w:rsidR="00990E00" w:rsidRDefault="00990E00" w:rsidP="006449B0">
      <w:pPr>
        <w:pStyle w:val="ListParagraph"/>
        <w:numPr>
          <w:ilvl w:val="0"/>
          <w:numId w:val="15"/>
        </w:numPr>
      </w:pPr>
      <w:r>
        <w:t>Default access categories are used when an operator chooses to not configure access categories, only relying on default access categories. used as a single access control.</w:t>
      </w:r>
    </w:p>
    <w:p w14:paraId="1F9D4D60" w14:textId="10C006FF" w:rsidR="00B04C7B" w:rsidRDefault="00990E00" w:rsidP="00BE6AF1">
      <w:r>
        <w:t xml:space="preserve">If we admit that these two cases need to both be cater for, it implies that the default access categories would need to be </w:t>
      </w:r>
      <w:r w:rsidR="006449B0">
        <w:t>simple, but yet usable enough to be used as a single access control mechanism.</w:t>
      </w:r>
      <w:r w:rsidR="00BE6AF1">
        <w:t xml:space="preserve"> </w:t>
      </w:r>
      <w:r w:rsidR="00B04C7B">
        <w:t xml:space="preserve">The number of default access categories to specify would also depend on the intended usage. </w:t>
      </w:r>
    </w:p>
    <w:p w14:paraId="65CE2452" w14:textId="055504B6" w:rsidR="00BE6AF1" w:rsidRDefault="00BE6AF1" w:rsidP="00BE6AF1">
      <w:r>
        <w:t>As we propose that the default access categories are spe</w:t>
      </w:r>
      <w:r w:rsidR="00B04C7B">
        <w:t>cifi</w:t>
      </w:r>
      <w:r>
        <w:t xml:space="preserve">ed in the NAS specifications, it is natural that CT1, </w:t>
      </w:r>
      <w:r w:rsidR="00B04C7B">
        <w:t>would be responsible</w:t>
      </w:r>
      <w:r>
        <w:t xml:space="preserve"> on these default categories</w:t>
      </w:r>
      <w:r w:rsidR="00B04C7B">
        <w:t>, but in dialogue with RAN2</w:t>
      </w:r>
      <w:r>
        <w:t>. We propose</w:t>
      </w:r>
    </w:p>
    <w:p w14:paraId="3054383B" w14:textId="77777777" w:rsidR="00BE6AF1" w:rsidRDefault="00BE6AF1" w:rsidP="00BE6AF1">
      <w:pPr>
        <w:pStyle w:val="Proposal"/>
      </w:pPr>
      <w:bookmarkStart w:id="25" w:name="_Toc485222994"/>
      <w:bookmarkStart w:id="26" w:name="_Toc485416636"/>
      <w:bookmarkStart w:id="27" w:name="_Toc490264153"/>
      <w:r w:rsidRPr="00BE6AF1">
        <w:t>Send an LS to agree with CT1 what access categories that should be standardized</w:t>
      </w:r>
      <w:r>
        <w:t>.</w:t>
      </w:r>
      <w:bookmarkEnd w:id="25"/>
      <w:bookmarkEnd w:id="26"/>
      <w:bookmarkEnd w:id="27"/>
    </w:p>
    <w:p w14:paraId="49580E16" w14:textId="4DA0463F" w:rsidR="006449B0" w:rsidRDefault="00AD396B" w:rsidP="006449B0">
      <w:r>
        <w:t>Moreover, even if we propose that the set of codepoints available for the access categories are divided into a defalt set and a configured set, the mechanism used for barring is identical for both these sets. We propose:</w:t>
      </w:r>
    </w:p>
    <w:p w14:paraId="25A8DC98" w14:textId="1EE352BE" w:rsidR="00AD396B" w:rsidRDefault="00AD396B" w:rsidP="006449B0">
      <w:pPr>
        <w:pStyle w:val="Proposal"/>
      </w:pPr>
      <w:bookmarkStart w:id="28" w:name="_Toc484766834"/>
      <w:bookmarkStart w:id="29" w:name="_Toc485222996"/>
      <w:bookmarkStart w:id="30" w:name="_Toc485416637"/>
      <w:bookmarkStart w:id="31" w:name="_Toc484590745"/>
      <w:bookmarkStart w:id="32" w:name="_Toc484591094"/>
      <w:bookmarkStart w:id="33" w:name="_Toc490264154"/>
      <w:r>
        <w:lastRenderedPageBreak/>
        <w:t>The mechanism used for barring is identical for both the default access categories and the configured access categories.</w:t>
      </w:r>
      <w:bookmarkEnd w:id="28"/>
      <w:bookmarkEnd w:id="29"/>
      <w:bookmarkEnd w:id="30"/>
      <w:bookmarkEnd w:id="33"/>
    </w:p>
    <w:p w14:paraId="2770F2CD" w14:textId="1C2DD749" w:rsidR="006449B0" w:rsidRPr="00A04F49" w:rsidRDefault="00AD396B" w:rsidP="006449B0">
      <w:pPr>
        <w:pStyle w:val="Proposal"/>
      </w:pPr>
      <w:bookmarkStart w:id="34" w:name="_Toc484766835"/>
      <w:bookmarkStart w:id="35" w:name="_Toc485222997"/>
      <w:bookmarkStart w:id="36" w:name="_Toc485416638"/>
      <w:bookmarkStart w:id="37" w:name="_Toc490264155"/>
      <w:r>
        <w:t xml:space="preserve">The barring parameters of unified access control are defined in the same way for both </w:t>
      </w:r>
      <w:r w:rsidR="006449B0">
        <w:t xml:space="preserve">the default access categories </w:t>
      </w:r>
      <w:r>
        <w:t>and</w:t>
      </w:r>
      <w:r w:rsidR="006449B0">
        <w:t xml:space="preserve"> the configured </w:t>
      </w:r>
      <w:r>
        <w:t xml:space="preserve">access </w:t>
      </w:r>
      <w:r w:rsidR="006449B0">
        <w:t>categories</w:t>
      </w:r>
      <w:bookmarkEnd w:id="31"/>
      <w:bookmarkEnd w:id="32"/>
      <w:r>
        <w:t>.</w:t>
      </w:r>
      <w:bookmarkEnd w:id="34"/>
      <w:bookmarkEnd w:id="35"/>
      <w:bookmarkEnd w:id="36"/>
      <w:bookmarkEnd w:id="37"/>
    </w:p>
    <w:p w14:paraId="237F1250" w14:textId="77777777" w:rsidR="006449B0" w:rsidRDefault="006449B0" w:rsidP="006449B0"/>
    <w:p w14:paraId="1FB854FC" w14:textId="77777777" w:rsidR="00C01F33" w:rsidRPr="00CE0424" w:rsidRDefault="00C01F33" w:rsidP="00CE0424">
      <w:pPr>
        <w:pStyle w:val="Heading1"/>
      </w:pPr>
      <w:r w:rsidRPr="00CE0424">
        <w:t>Conclusion</w:t>
      </w:r>
    </w:p>
    <w:p w14:paraId="3209A399" w14:textId="77777777" w:rsidR="00DE098B" w:rsidRDefault="00DE098B" w:rsidP="008E065E">
      <w:pPr>
        <w:pStyle w:val="BodyText"/>
      </w:pPr>
      <w:r>
        <w:t xml:space="preserve">This paper has discussed how the default, standardized access categories could be defined. </w:t>
      </w:r>
    </w:p>
    <w:p w14:paraId="24DA5A3E" w14:textId="77777777" w:rsidR="00DF3200"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372C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7C4CCFF" w14:textId="77777777" w:rsidR="00DF3200" w:rsidRDefault="00DF3200">
      <w:pPr>
        <w:pStyle w:val="TOC1"/>
        <w:rPr>
          <w:rFonts w:asciiTheme="minorHAnsi" w:eastAsiaTheme="minorEastAsia" w:hAnsiTheme="minorHAnsi" w:cstheme="minorBidi"/>
          <w:b w:val="0"/>
          <w:sz w:val="22"/>
          <w:lang w:val="sv-SE" w:eastAsia="sv-SE"/>
        </w:rPr>
      </w:pPr>
      <w:r>
        <w:t>Observation 1</w:t>
      </w:r>
      <w:r>
        <w:rPr>
          <w:rFonts w:asciiTheme="minorHAnsi" w:eastAsiaTheme="minorEastAsia" w:hAnsiTheme="minorHAnsi" w:cstheme="minorBidi"/>
          <w:b w:val="0"/>
          <w:sz w:val="22"/>
          <w:lang w:val="sv-SE" w:eastAsia="sv-SE"/>
        </w:rPr>
        <w:tab/>
      </w:r>
      <w:r>
        <w:t>How to determine the validity of the configured access categories need to be specified.</w:t>
      </w:r>
    </w:p>
    <w:p w14:paraId="03F92FA0" w14:textId="77777777" w:rsidR="00DF3200" w:rsidRDefault="00DF3200">
      <w:pPr>
        <w:pStyle w:val="TOC1"/>
        <w:rPr>
          <w:rFonts w:asciiTheme="minorHAnsi" w:eastAsiaTheme="minorEastAsia" w:hAnsiTheme="minorHAnsi" w:cstheme="minorBidi"/>
          <w:b w:val="0"/>
          <w:sz w:val="22"/>
          <w:lang w:val="sv-SE" w:eastAsia="sv-SE"/>
        </w:rPr>
      </w:pPr>
      <w:r>
        <w:t>Observation 2</w:t>
      </w:r>
      <w:r>
        <w:rPr>
          <w:rFonts w:asciiTheme="minorHAnsi" w:eastAsiaTheme="minorEastAsia" w:hAnsiTheme="minorHAnsi" w:cstheme="minorBidi"/>
          <w:b w:val="0"/>
          <w:sz w:val="22"/>
          <w:lang w:val="sv-SE" w:eastAsia="sv-SE"/>
        </w:rPr>
        <w:tab/>
      </w:r>
      <w:r>
        <w:t>Specifying the default access categories in NAS keeps RRC agnostic of the usage of an access category codepoint in line with the “unified access control mechanism”.</w:t>
      </w:r>
    </w:p>
    <w:p w14:paraId="09A4D090" w14:textId="77777777" w:rsidR="00DF3200" w:rsidRDefault="00DF3200">
      <w:pPr>
        <w:pStyle w:val="TOC1"/>
        <w:rPr>
          <w:rFonts w:asciiTheme="minorHAnsi" w:eastAsiaTheme="minorEastAsia" w:hAnsiTheme="minorHAnsi" w:cstheme="minorBidi"/>
          <w:b w:val="0"/>
          <w:sz w:val="22"/>
          <w:lang w:val="sv-SE" w:eastAsia="sv-SE"/>
        </w:rPr>
      </w:pPr>
      <w:r>
        <w:t>Observation 3</w:t>
      </w:r>
      <w:r>
        <w:rPr>
          <w:rFonts w:asciiTheme="minorHAnsi" w:eastAsiaTheme="minorEastAsia" w:hAnsiTheme="minorHAnsi" w:cstheme="minorBidi"/>
          <w:b w:val="0"/>
          <w:sz w:val="22"/>
          <w:lang w:val="sv-SE" w:eastAsia="sv-SE"/>
        </w:rPr>
        <w:tab/>
      </w:r>
      <w:r>
        <w:t>RAN can apply barring even if RRC is agnostic of meaning of a default access category codepoint.</w:t>
      </w:r>
    </w:p>
    <w:p w14:paraId="05BC883F" w14:textId="77777777" w:rsidR="008E065E" w:rsidRDefault="008E065E" w:rsidP="008E065E">
      <w:pPr>
        <w:pStyle w:val="BodyText"/>
        <w:rPr>
          <w:b/>
          <w:bCs/>
        </w:rPr>
      </w:pPr>
      <w:r>
        <w:rPr>
          <w:b/>
          <w:bCs/>
        </w:rPr>
        <w:fldChar w:fldCharType="end"/>
      </w:r>
    </w:p>
    <w:p w14:paraId="589B2855" w14:textId="301CCE0A" w:rsidR="0085489E" w:rsidRPr="00AF1E2D" w:rsidRDefault="008E065E">
      <w:pPr>
        <w:pStyle w:val="TOC1"/>
        <w:rPr>
          <w:b w:val="0"/>
        </w:rPr>
      </w:pPr>
      <w:r w:rsidRPr="00AF1E2D">
        <w:rPr>
          <w:b w:val="0"/>
        </w:rPr>
        <w:t xml:space="preserve">Based on the discussion in section </w:t>
      </w:r>
      <w:r w:rsidRPr="00AF1E2D">
        <w:rPr>
          <w:b w:val="0"/>
          <w:highlight w:val="cyan"/>
        </w:rPr>
        <w:fldChar w:fldCharType="begin"/>
      </w:r>
      <w:r w:rsidRPr="00AF1E2D">
        <w:rPr>
          <w:b w:val="0"/>
        </w:rPr>
        <w:instrText xml:space="preserve"> REF _Ref178064866 \r \h </w:instrText>
      </w:r>
      <w:r w:rsidR="00AF1E2D">
        <w:rPr>
          <w:b w:val="0"/>
          <w:highlight w:val="cyan"/>
        </w:rPr>
        <w:instrText xml:space="preserve"> \* MERGEFORMAT </w:instrText>
      </w:r>
      <w:r w:rsidRPr="00AF1E2D">
        <w:rPr>
          <w:b w:val="0"/>
          <w:highlight w:val="cyan"/>
        </w:rPr>
      </w:r>
      <w:r w:rsidRPr="00AF1E2D">
        <w:rPr>
          <w:b w:val="0"/>
          <w:highlight w:val="cyan"/>
        </w:rPr>
        <w:fldChar w:fldCharType="separate"/>
      </w:r>
      <w:r w:rsidR="008372C2" w:rsidRPr="00AF1E2D">
        <w:rPr>
          <w:b w:val="0"/>
        </w:rPr>
        <w:t>2</w:t>
      </w:r>
      <w:r w:rsidRPr="00AF1E2D">
        <w:rPr>
          <w:b w:val="0"/>
          <w:highlight w:val="cyan"/>
        </w:rPr>
        <w:fldChar w:fldCharType="end"/>
      </w:r>
      <w:r w:rsidRPr="00AF1E2D">
        <w:rPr>
          <w:b w:val="0"/>
        </w:rPr>
        <w:t xml:space="preserve"> we propose the following:</w:t>
      </w:r>
    </w:p>
    <w:p w14:paraId="1A8C2028" w14:textId="77777777" w:rsidR="00DF3200"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bookmarkStart w:id="38" w:name="_GoBack"/>
      <w:bookmarkEnd w:id="38"/>
      <w:r w:rsidR="00DF3200">
        <w:t>Proposal 1</w:t>
      </w:r>
      <w:r w:rsidR="00DF3200">
        <w:rPr>
          <w:rFonts w:asciiTheme="minorHAnsi" w:eastAsiaTheme="minorEastAsia" w:hAnsiTheme="minorHAnsi" w:cstheme="minorBidi"/>
          <w:b w:val="0"/>
          <w:sz w:val="22"/>
          <w:lang w:val="sv-SE" w:eastAsia="sv-SE"/>
        </w:rPr>
        <w:tab/>
      </w:r>
      <w:r w:rsidR="00DF3200">
        <w:t>Access categories are classified into configured access categories and default access categories.</w:t>
      </w:r>
    </w:p>
    <w:p w14:paraId="0CBA5DA0" w14:textId="77777777" w:rsidR="00DF3200" w:rsidRDefault="00DF3200">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The codepoints used for the default access categories are separate from the codepoints used for the configured access categories.</w:t>
      </w:r>
    </w:p>
    <w:p w14:paraId="64A6745A" w14:textId="77777777" w:rsidR="00DF3200" w:rsidRDefault="00DF3200">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The default access categories are defined in the NAS specifications.</w:t>
      </w:r>
    </w:p>
    <w:p w14:paraId="60CA877F" w14:textId="77777777" w:rsidR="00DF3200" w:rsidRDefault="00DF3200">
      <w:pPr>
        <w:pStyle w:val="TOC1"/>
        <w:rPr>
          <w:rFonts w:asciiTheme="minorHAnsi" w:eastAsiaTheme="minorEastAsia" w:hAnsiTheme="minorHAnsi" w:cstheme="minorBidi"/>
          <w:b w:val="0"/>
          <w:sz w:val="22"/>
          <w:lang w:val="sv-SE" w:eastAsia="sv-SE"/>
        </w:rPr>
      </w:pPr>
      <w:r>
        <w:t>Proposal 4</w:t>
      </w:r>
      <w:r>
        <w:rPr>
          <w:rFonts w:asciiTheme="minorHAnsi" w:eastAsiaTheme="minorEastAsia" w:hAnsiTheme="minorHAnsi" w:cstheme="minorBidi"/>
          <w:b w:val="0"/>
          <w:sz w:val="22"/>
          <w:lang w:val="sv-SE" w:eastAsia="sv-SE"/>
        </w:rPr>
        <w:tab/>
      </w:r>
      <w:r>
        <w:t>Send an LS to agree with CT1 what access categories that should be standardized.</w:t>
      </w:r>
    </w:p>
    <w:p w14:paraId="54BCF511" w14:textId="77777777" w:rsidR="00DF3200" w:rsidRDefault="00DF3200">
      <w:pPr>
        <w:pStyle w:val="TOC1"/>
        <w:rPr>
          <w:rFonts w:asciiTheme="minorHAnsi" w:eastAsiaTheme="minorEastAsia" w:hAnsiTheme="minorHAnsi" w:cstheme="minorBidi"/>
          <w:b w:val="0"/>
          <w:sz w:val="22"/>
          <w:lang w:val="sv-SE" w:eastAsia="sv-SE"/>
        </w:rPr>
      </w:pPr>
      <w:r>
        <w:t>Proposal 5</w:t>
      </w:r>
      <w:r>
        <w:rPr>
          <w:rFonts w:asciiTheme="minorHAnsi" w:eastAsiaTheme="minorEastAsia" w:hAnsiTheme="minorHAnsi" w:cstheme="minorBidi"/>
          <w:b w:val="0"/>
          <w:sz w:val="22"/>
          <w:lang w:val="sv-SE" w:eastAsia="sv-SE"/>
        </w:rPr>
        <w:tab/>
      </w:r>
      <w:r>
        <w:t>The mechanism used for barring is identical for both the default access categories and the configured access categories.</w:t>
      </w:r>
    </w:p>
    <w:p w14:paraId="70127686" w14:textId="77777777" w:rsidR="00DF3200" w:rsidRDefault="00DF3200">
      <w:pPr>
        <w:pStyle w:val="TOC1"/>
        <w:rPr>
          <w:rFonts w:asciiTheme="minorHAnsi" w:eastAsiaTheme="minorEastAsia" w:hAnsiTheme="minorHAnsi" w:cstheme="minorBidi"/>
          <w:b w:val="0"/>
          <w:sz w:val="22"/>
          <w:lang w:val="sv-SE" w:eastAsia="sv-SE"/>
        </w:rPr>
      </w:pPr>
      <w:r>
        <w:t>Proposal 6</w:t>
      </w:r>
      <w:r>
        <w:rPr>
          <w:rFonts w:asciiTheme="minorHAnsi" w:eastAsiaTheme="minorEastAsia" w:hAnsiTheme="minorHAnsi" w:cstheme="minorBidi"/>
          <w:b w:val="0"/>
          <w:sz w:val="22"/>
          <w:lang w:val="sv-SE" w:eastAsia="sv-SE"/>
        </w:rPr>
        <w:tab/>
      </w:r>
      <w:r>
        <w:t>The barring parameters of unified access control are defined in the same way for both the default access categories and the configured access categories.</w:t>
      </w:r>
    </w:p>
    <w:p w14:paraId="60364B71" w14:textId="6411D102" w:rsidR="00311702" w:rsidRPr="00D04434" w:rsidRDefault="008E065E" w:rsidP="00AB0BC8">
      <w:pPr>
        <w:rPr>
          <w:b/>
          <w:bCs/>
        </w:rPr>
      </w:pPr>
      <w:r>
        <w:rPr>
          <w:b/>
          <w:bCs/>
        </w:rPr>
        <w:fldChar w:fldCharType="end"/>
      </w:r>
    </w:p>
    <w:p w14:paraId="7ADACC02" w14:textId="77777777" w:rsidR="00F507D1" w:rsidRPr="00CE0424" w:rsidRDefault="00F507D1" w:rsidP="00CE0424">
      <w:pPr>
        <w:pStyle w:val="Heading1"/>
      </w:pPr>
      <w:bookmarkStart w:id="39" w:name="_In-sequence_SDU_delivery"/>
      <w:bookmarkEnd w:id="39"/>
      <w:r w:rsidRPr="00CE0424">
        <w:t>References</w:t>
      </w:r>
    </w:p>
    <w:p w14:paraId="1091047B" w14:textId="7A9696CB" w:rsidR="00255FF8" w:rsidRDefault="00255FF8" w:rsidP="00255FF8">
      <w:pPr>
        <w:pStyle w:val="Reference"/>
      </w:pPr>
      <w:bookmarkStart w:id="40" w:name="_Ref489865770"/>
      <w:bookmarkStart w:id="41" w:name="_Ref473794709"/>
      <w:bookmarkStart w:id="42" w:name="_Ref477937967"/>
      <w:bookmarkStart w:id="43" w:name="_Ref484590486"/>
      <w:bookmarkStart w:id="44" w:name="_Ref174151459"/>
      <w:bookmarkStart w:id="45" w:name="_Ref189809556"/>
      <w:r w:rsidRPr="00255FF8">
        <w:t>R2-1706510</w:t>
      </w:r>
      <w:r>
        <w:t xml:space="preserve">, </w:t>
      </w:r>
      <w:r w:rsidRPr="00255FF8">
        <w:t>Default access control categories</w:t>
      </w:r>
      <w:r>
        <w:t xml:space="preserve">, </w:t>
      </w:r>
      <w:r w:rsidRPr="00255FF8">
        <w:t>Ericsson, RAN2 WG2 NR#2, Qingdao, P.R. of China, 27th – 29th June 2017</w:t>
      </w:r>
      <w:bookmarkEnd w:id="40"/>
    </w:p>
    <w:p w14:paraId="43CC6AA7" w14:textId="7857465E" w:rsidR="00DE098B" w:rsidRPr="00BE6AF1" w:rsidRDefault="00DE098B" w:rsidP="00255FF8">
      <w:pPr>
        <w:pStyle w:val="Reference"/>
      </w:pPr>
      <w:bookmarkStart w:id="46" w:name="_Ref489865799"/>
      <w:r w:rsidRPr="00E0505A">
        <w:t>R2-170</w:t>
      </w:r>
      <w:r w:rsidR="00E0505A" w:rsidRPr="00E0505A">
        <w:rPr>
          <w:rFonts w:cs="Arial"/>
          <w:color w:val="000000"/>
          <w:lang w:eastAsia="sv-SE"/>
        </w:rPr>
        <w:t>8528</w:t>
      </w:r>
      <w:r w:rsidRPr="00E0505A">
        <w:t>,</w:t>
      </w:r>
      <w:r w:rsidRPr="00BE6AF1">
        <w:t xml:space="preserve"> Access Control for NR, Ericsson, RAN2</w:t>
      </w:r>
      <w:bookmarkEnd w:id="41"/>
      <w:bookmarkEnd w:id="42"/>
      <w:r w:rsidRPr="00BE6AF1">
        <w:t xml:space="preserve"> </w:t>
      </w:r>
      <w:bookmarkEnd w:id="43"/>
      <w:r w:rsidR="00255FF8">
        <w:t>WG2#99,</w:t>
      </w:r>
      <w:r w:rsidR="00255FF8" w:rsidRPr="00255FF8">
        <w:t xml:space="preserve"> Berlin, Germany, 21st – 25th August, 2017</w:t>
      </w:r>
      <w:bookmarkEnd w:id="46"/>
    </w:p>
    <w:p w14:paraId="5192292A" w14:textId="77777777" w:rsidR="00DE098B" w:rsidRPr="0041640C" w:rsidRDefault="00DE098B" w:rsidP="00DE098B">
      <w:pPr>
        <w:pStyle w:val="Reference"/>
      </w:pPr>
      <w:bookmarkStart w:id="47" w:name="_Ref481065572"/>
      <w:bookmarkStart w:id="48" w:name="_Ref481138691"/>
      <w:bookmarkStart w:id="49" w:name="_Ref481051841"/>
      <w:bookmarkEnd w:id="44"/>
      <w:bookmarkEnd w:id="45"/>
      <w:r>
        <w:t xml:space="preserve">R2-1706154, </w:t>
      </w:r>
      <w:bookmarkEnd w:id="47"/>
      <w:r>
        <w:t xml:space="preserve">Reply </w:t>
      </w:r>
      <w:r w:rsidRPr="00C00BFF">
        <w:t>LS on Access Control for NR</w:t>
      </w:r>
      <w:r>
        <w:t xml:space="preserve">, RAN2#98, </w:t>
      </w:r>
      <w:bookmarkEnd w:id="48"/>
      <w:r>
        <w:t>Hangzhou</w:t>
      </w:r>
      <w:r w:rsidRPr="00223EB9">
        <w:t xml:space="preserve">, </w:t>
      </w:r>
      <w:r>
        <w:t>China</w:t>
      </w:r>
      <w:r w:rsidRPr="00223EB9">
        <w:t xml:space="preserve">, </w:t>
      </w:r>
      <w:r>
        <w:t>15</w:t>
      </w:r>
      <w:r w:rsidRPr="00FF37C9">
        <w:rPr>
          <w:vertAlign w:val="superscript"/>
        </w:rPr>
        <w:t>th</w:t>
      </w:r>
      <w:r>
        <w:t>-19</w:t>
      </w:r>
      <w:r w:rsidRPr="00FF37C9">
        <w:rPr>
          <w:vertAlign w:val="superscript"/>
        </w:rPr>
        <w:t>th</w:t>
      </w:r>
      <w:r>
        <w:t xml:space="preserve"> May</w:t>
      </w:r>
      <w:r w:rsidRPr="00223EB9">
        <w:t xml:space="preserve"> 2017</w:t>
      </w:r>
    </w:p>
    <w:bookmarkEnd w:id="49"/>
    <w:p w14:paraId="02565974" w14:textId="5249FFB6" w:rsidR="003A7EF3" w:rsidRDefault="00141DE8" w:rsidP="00141DE8">
      <w:pPr>
        <w:pStyle w:val="Reference"/>
      </w:pPr>
      <w:r w:rsidRPr="00141DE8">
        <w:rPr>
          <w:rFonts w:cs="Arial"/>
          <w:lang w:val="en-US"/>
        </w:rPr>
        <w:t>R2-1706303 / C1-172663, LS on default access categories, 3GPP CT1, 3GPP TSG-RAN WG2 NR#2, Qingdao, P.R. of China, 27th – 29th June 2017</w:t>
      </w:r>
    </w:p>
    <w:p w14:paraId="5FB9AF13" w14:textId="539E2714" w:rsidR="00B04C7B" w:rsidRPr="00CE0424" w:rsidRDefault="00E0505A" w:rsidP="00B04C7B">
      <w:pPr>
        <w:pStyle w:val="Reference"/>
      </w:pPr>
      <w:bookmarkStart w:id="50" w:name="_Ref485293697"/>
      <w:r w:rsidRPr="00E0505A">
        <w:t>R2-1708534</w:t>
      </w:r>
      <w:r w:rsidR="00B04C7B">
        <w:t xml:space="preserve">, Establishment Causes for NR, </w:t>
      </w:r>
      <w:r w:rsidR="00B04C7B" w:rsidRPr="00BE6AF1">
        <w:t xml:space="preserve">Ericsson, </w:t>
      </w:r>
      <w:bookmarkEnd w:id="50"/>
      <w:r w:rsidR="00255FF8" w:rsidRPr="00BE6AF1">
        <w:t xml:space="preserve">RAN2 </w:t>
      </w:r>
      <w:r w:rsidR="00255FF8">
        <w:t>WG2#99,</w:t>
      </w:r>
      <w:r w:rsidR="00255FF8" w:rsidRPr="00255FF8">
        <w:t xml:space="preserve"> Berlin, Germany, 21st – 25th August, 2017</w:t>
      </w:r>
    </w:p>
    <w:sectPr w:rsidR="00B04C7B"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E6BFB" w14:textId="77777777" w:rsidR="003B285F" w:rsidRDefault="003B285F">
      <w:r>
        <w:separator/>
      </w:r>
    </w:p>
  </w:endnote>
  <w:endnote w:type="continuationSeparator" w:id="0">
    <w:p w14:paraId="15245D7C" w14:textId="77777777" w:rsidR="003B285F" w:rsidRDefault="003B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B0DE" w14:textId="283B9CF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F320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320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142D3" w14:textId="77777777" w:rsidR="003B285F" w:rsidRDefault="003B285F">
      <w:r>
        <w:separator/>
      </w:r>
    </w:p>
  </w:footnote>
  <w:footnote w:type="continuationSeparator" w:id="0">
    <w:p w14:paraId="558A6419" w14:textId="77777777" w:rsidR="003B285F" w:rsidRDefault="003B2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EBE7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621AC7"/>
    <w:multiLevelType w:val="hybridMultilevel"/>
    <w:tmpl w:val="4C36071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990BA0"/>
    <w:multiLevelType w:val="hybridMultilevel"/>
    <w:tmpl w:val="82CA17DE"/>
    <w:lvl w:ilvl="0" w:tplc="A53A33A4">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047A7B"/>
    <w:multiLevelType w:val="hybridMultilevel"/>
    <w:tmpl w:val="C248D87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E3C0D88"/>
    <w:multiLevelType w:val="hybridMultilevel"/>
    <w:tmpl w:val="5CBABE0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2"/>
  </w:num>
  <w:num w:numId="11">
    <w:abstractNumId w:val="1"/>
  </w:num>
  <w:num w:numId="12">
    <w:abstractNumId w:val="0"/>
  </w:num>
  <w:num w:numId="13">
    <w:abstractNumId w:val="13"/>
  </w:num>
  <w:num w:numId="14">
    <w:abstractNumId w:val="16"/>
  </w:num>
  <w:num w:numId="15">
    <w:abstractNumId w:val="15"/>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2C2"/>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05AC"/>
    <w:rsid w:val="00081AE6"/>
    <w:rsid w:val="000855EB"/>
    <w:rsid w:val="00085B52"/>
    <w:rsid w:val="000866F2"/>
    <w:rsid w:val="0009009F"/>
    <w:rsid w:val="00091557"/>
    <w:rsid w:val="000924C1"/>
    <w:rsid w:val="000924F0"/>
    <w:rsid w:val="00093474"/>
    <w:rsid w:val="0009510F"/>
    <w:rsid w:val="000A1B7B"/>
    <w:rsid w:val="000A3F77"/>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6DF8"/>
    <w:rsid w:val="00137AB5"/>
    <w:rsid w:val="00137F0B"/>
    <w:rsid w:val="00141DE8"/>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0724"/>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CA0"/>
    <w:rsid w:val="002224DB"/>
    <w:rsid w:val="00223FCB"/>
    <w:rsid w:val="002252C3"/>
    <w:rsid w:val="00225C54"/>
    <w:rsid w:val="00230765"/>
    <w:rsid w:val="002319E4"/>
    <w:rsid w:val="00235632"/>
    <w:rsid w:val="00235872"/>
    <w:rsid w:val="00241559"/>
    <w:rsid w:val="002435B3"/>
    <w:rsid w:val="002458EB"/>
    <w:rsid w:val="002500C8"/>
    <w:rsid w:val="00255FF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285F"/>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5915"/>
    <w:rsid w:val="003F6BBE"/>
    <w:rsid w:val="004000E8"/>
    <w:rsid w:val="00402E2B"/>
    <w:rsid w:val="0040512B"/>
    <w:rsid w:val="00405CA5"/>
    <w:rsid w:val="00407CD3"/>
    <w:rsid w:val="00410134"/>
    <w:rsid w:val="00410B72"/>
    <w:rsid w:val="00410F18"/>
    <w:rsid w:val="0041263E"/>
    <w:rsid w:val="00413AAC"/>
    <w:rsid w:val="00421105"/>
    <w:rsid w:val="00421A7C"/>
    <w:rsid w:val="004242F4"/>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139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26C"/>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9B0"/>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17C6"/>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2C2"/>
    <w:rsid w:val="008376AC"/>
    <w:rsid w:val="008444E8"/>
    <w:rsid w:val="00844E80"/>
    <w:rsid w:val="00846FE7"/>
    <w:rsid w:val="00850CEC"/>
    <w:rsid w:val="0085489E"/>
    <w:rsid w:val="00856911"/>
    <w:rsid w:val="008677FD"/>
    <w:rsid w:val="008706D4"/>
    <w:rsid w:val="00870F8A"/>
    <w:rsid w:val="008719A4"/>
    <w:rsid w:val="00871D23"/>
    <w:rsid w:val="00874312"/>
    <w:rsid w:val="0087437C"/>
    <w:rsid w:val="00875CD7"/>
    <w:rsid w:val="00876B4D"/>
    <w:rsid w:val="00877F18"/>
    <w:rsid w:val="00894A88"/>
    <w:rsid w:val="00894DBC"/>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E00"/>
    <w:rsid w:val="00991761"/>
    <w:rsid w:val="00994DCA"/>
    <w:rsid w:val="009960EC"/>
    <w:rsid w:val="009970DD"/>
    <w:rsid w:val="009A0FBA"/>
    <w:rsid w:val="009A1601"/>
    <w:rsid w:val="009A462D"/>
    <w:rsid w:val="009A5CBA"/>
    <w:rsid w:val="009B1F30"/>
    <w:rsid w:val="009B3AC2"/>
    <w:rsid w:val="009B4DF4"/>
    <w:rsid w:val="009B564E"/>
    <w:rsid w:val="009B7E87"/>
    <w:rsid w:val="009C28C6"/>
    <w:rsid w:val="009C403E"/>
    <w:rsid w:val="009D4FF0"/>
    <w:rsid w:val="009D5AC4"/>
    <w:rsid w:val="009D703C"/>
    <w:rsid w:val="009D718F"/>
    <w:rsid w:val="009E068F"/>
    <w:rsid w:val="009E14E0"/>
    <w:rsid w:val="009E35DB"/>
    <w:rsid w:val="009E47A3"/>
    <w:rsid w:val="009F08F3"/>
    <w:rsid w:val="009F1ECE"/>
    <w:rsid w:val="009F344F"/>
    <w:rsid w:val="00A048A8"/>
    <w:rsid w:val="00A04F49"/>
    <w:rsid w:val="00A07855"/>
    <w:rsid w:val="00A13E54"/>
    <w:rsid w:val="00A14EC3"/>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6D37"/>
    <w:rsid w:val="00AC007F"/>
    <w:rsid w:val="00AC2ECD"/>
    <w:rsid w:val="00AC3119"/>
    <w:rsid w:val="00AC49FB"/>
    <w:rsid w:val="00AC5A10"/>
    <w:rsid w:val="00AD0AA3"/>
    <w:rsid w:val="00AD396B"/>
    <w:rsid w:val="00AD3F94"/>
    <w:rsid w:val="00AD4A5A"/>
    <w:rsid w:val="00AE27AC"/>
    <w:rsid w:val="00AE40E0"/>
    <w:rsid w:val="00AE4DBA"/>
    <w:rsid w:val="00AE4F07"/>
    <w:rsid w:val="00AF1C5D"/>
    <w:rsid w:val="00AF1E2D"/>
    <w:rsid w:val="00AF42D7"/>
    <w:rsid w:val="00B006FE"/>
    <w:rsid w:val="00B007CB"/>
    <w:rsid w:val="00B02AA9"/>
    <w:rsid w:val="00B02FA3"/>
    <w:rsid w:val="00B04C7B"/>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AF1"/>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89B"/>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10F2"/>
    <w:rsid w:val="00D4318F"/>
    <w:rsid w:val="00D438BF"/>
    <w:rsid w:val="00D440F8"/>
    <w:rsid w:val="00D466D1"/>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387D"/>
    <w:rsid w:val="00DC53EF"/>
    <w:rsid w:val="00DE098B"/>
    <w:rsid w:val="00DE5608"/>
    <w:rsid w:val="00DE58D0"/>
    <w:rsid w:val="00DE654F"/>
    <w:rsid w:val="00DF0B6E"/>
    <w:rsid w:val="00DF15E0"/>
    <w:rsid w:val="00DF3200"/>
    <w:rsid w:val="00DF37A0"/>
    <w:rsid w:val="00DF5C56"/>
    <w:rsid w:val="00E0505A"/>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A3B"/>
    <w:rsid w:val="00F374B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2EA66"/>
  <w15:docId w15:val="{7F59A730-167C-4181-BA86-8DB8126F6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DE09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E098B"/>
    <w:rPr>
      <w:rFonts w:ascii="Arial" w:eastAsia="MS Mincho" w:hAnsi="Arial"/>
      <w:szCs w:val="24"/>
      <w:lang w:val="en-GB" w:eastAsia="en-GB"/>
    </w:rPr>
  </w:style>
  <w:style w:type="paragraph" w:styleId="ListParagraph">
    <w:name w:val="List Paragraph"/>
    <w:basedOn w:val="Normal"/>
    <w:uiPriority w:val="34"/>
    <w:qFormat/>
    <w:rsid w:val="00D410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RAN2_AH\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5NUHHDQN7SK2-1-179419</_dlc_DocId>
    <TaxCatchAll xmlns="08b2df90-05d3-4030-90d4-c9feeb4a1cd9">
      <Value>10</Value>
      <Value>9</Value>
      <Value>8</Value>
      <Value>3</Value>
      <Value>1</Value>
    </TaxCatchAll>
    <_dlc_DocIdUrl xmlns="08b2df90-05d3-4030-90d4-c9feeb4a1cd9">
      <Url>https://ericoll.internal.ericsson.com/sites/star/_layouts/DocIdRedir.aspx?ID=5NUHHDQN7SK2-1-179419</Url>
      <Description>5NUHHDQN7SK2-1-179419</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02DD1BC8-3566-4311-9AE5-76CF04E8E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110B17-4932-421D-954B-30ED8C12A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0</TotalTime>
  <Pages>3</Pages>
  <Words>1432</Words>
  <Characters>7595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cp:keywords>3GPP; Ericsson; TDoc</cp:keywords>
  <cp:revision>2</cp:revision>
  <cp:lastPrinted>2008-01-31T06:09:00Z</cp:lastPrinted>
  <dcterms:created xsi:type="dcterms:W3CDTF">2017-08-11T23:20:00Z</dcterms:created>
  <dcterms:modified xsi:type="dcterms:W3CDTF">2017-08-11T23:20:00Z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f51a8a1a-0275-467e-995f-a392f28f3698</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